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16B5E" w14:textId="2A6DA988" w:rsidR="00FB7795" w:rsidRPr="00136A65" w:rsidRDefault="00FB7795" w:rsidP="00FB7795">
      <w:pPr>
        <w:rPr>
          <w:rFonts w:eastAsia="Calibri"/>
          <w:szCs w:val="18"/>
        </w:rPr>
      </w:pPr>
      <w:r w:rsidRPr="00E4036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9E1A65" wp14:editId="7067835C">
            <wp:simplePos x="0" y="0"/>
            <wp:positionH relativeFrom="column">
              <wp:align>right</wp:align>
            </wp:positionH>
            <wp:positionV relativeFrom="paragraph">
              <wp:posOffset>121920</wp:posOffset>
            </wp:positionV>
            <wp:extent cx="939187" cy="328362"/>
            <wp:effectExtent l="0" t="0" r="0" b="0"/>
            <wp:wrapSquare wrapText="bothSides"/>
            <wp:docPr id="2" name="Afbeelding 2" descr="Afbeeldingsresultaat voor Naamsvermelding-NietCommercieel-GelijkDelen 4.0 Internationaal (CC BY-NC-SA 4.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Naamsvermelding-NietCommercieel-GelijkDelen 4.0 Internationaal (CC BY-NC-SA 4.0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87" cy="32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6A65">
        <w:t xml:space="preserve">                                                                           </w:t>
      </w:r>
      <w:r w:rsidRPr="00E40361">
        <w:rPr>
          <w:noProof/>
          <w:sz w:val="24"/>
          <w:szCs w:val="24"/>
        </w:rPr>
        <w:drawing>
          <wp:inline distT="0" distB="0" distL="0" distR="0" wp14:anchorId="4E274533" wp14:editId="53969B34">
            <wp:extent cx="1478280" cy="1478280"/>
            <wp:effectExtent l="0" t="0" r="7620" b="7620"/>
            <wp:docPr id="1" name="Afbeelding 1" descr="Afbeeldingsresultaat voor logo av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ogo ava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0B49D" w14:textId="77777777" w:rsidR="00FB7795" w:rsidRPr="00E40361" w:rsidRDefault="00FB7795" w:rsidP="00FB7795">
      <w:pPr>
        <w:pStyle w:val="Normaalweb"/>
        <w:spacing w:before="0" w:beforeAutospacing="0" w:after="0" w:afterAutospacing="0"/>
        <w:rPr>
          <w:rFonts w:asciiTheme="minorHAnsi" w:eastAsiaTheme="minorEastAsia" w:hAnsiTheme="minorHAnsi" w:cstheme="minorBidi"/>
          <w:b/>
          <w:kern w:val="24"/>
        </w:rPr>
      </w:pPr>
      <w:r w:rsidRPr="00E40361">
        <w:rPr>
          <w:rFonts w:asciiTheme="minorHAnsi" w:eastAsiaTheme="minorEastAsia" w:hAnsiTheme="minorHAnsi" w:cstheme="minorBidi"/>
          <w:b/>
          <w:kern w:val="24"/>
        </w:rPr>
        <w:t xml:space="preserve">Avans Hogeschool </w:t>
      </w:r>
    </w:p>
    <w:p w14:paraId="7D3DBF1A" w14:textId="77777777" w:rsidR="00FB7795" w:rsidRDefault="00FB7795" w:rsidP="00FB7795">
      <w:pPr>
        <w:pStyle w:val="Normaalweb"/>
        <w:spacing w:before="0" w:beforeAutospacing="0" w:after="0" w:afterAutospacing="0"/>
        <w:rPr>
          <w:rFonts w:asciiTheme="minorHAnsi" w:eastAsiaTheme="minorEastAsia" w:hAnsiTheme="minorHAnsi" w:cstheme="minorBidi"/>
          <w:b/>
          <w:kern w:val="24"/>
        </w:rPr>
      </w:pPr>
      <w:r w:rsidRPr="00E40361">
        <w:rPr>
          <w:rFonts w:asciiTheme="minorHAnsi" w:eastAsiaTheme="minorEastAsia" w:hAnsiTheme="minorHAnsi" w:cstheme="minorBidi"/>
          <w:b/>
          <w:kern w:val="24"/>
        </w:rPr>
        <w:t xml:space="preserve">Opleiding verpleegkunde </w:t>
      </w:r>
    </w:p>
    <w:p w14:paraId="44D94101" w14:textId="122E994E" w:rsidR="00FB7795" w:rsidRPr="00E40361" w:rsidRDefault="00FB7795" w:rsidP="00FB7795">
      <w:pPr>
        <w:pStyle w:val="Normaalweb"/>
        <w:spacing w:before="0" w:beforeAutospacing="0" w:after="0" w:afterAutospacing="0"/>
        <w:rPr>
          <w:rFonts w:asciiTheme="minorHAnsi" w:eastAsiaTheme="minorEastAsia" w:hAnsiTheme="minorHAnsi" w:cstheme="minorBidi"/>
          <w:b/>
          <w:kern w:val="24"/>
        </w:rPr>
      </w:pPr>
      <w:r>
        <w:rPr>
          <w:rFonts w:asciiTheme="minorHAnsi" w:eastAsiaTheme="minorEastAsia" w:hAnsiTheme="minorHAnsi" w:cstheme="minorBidi"/>
          <w:b/>
          <w:kern w:val="24"/>
        </w:rPr>
        <w:t>05-7-2022</w:t>
      </w:r>
    </w:p>
    <w:p w14:paraId="5D9FA73E" w14:textId="77777777" w:rsidR="00FB7795" w:rsidRPr="00E40361" w:rsidRDefault="00FB7795" w:rsidP="00FB7795">
      <w:pPr>
        <w:pStyle w:val="Normaalweb"/>
        <w:spacing w:before="0" w:beforeAutospacing="0" w:after="0" w:afterAutospacing="0"/>
        <w:rPr>
          <w:rFonts w:asciiTheme="minorHAnsi" w:eastAsiaTheme="minorEastAsia" w:hAnsiTheme="minorHAnsi" w:cstheme="minorBidi"/>
          <w:b/>
          <w:kern w:val="24"/>
        </w:rPr>
      </w:pPr>
    </w:p>
    <w:p w14:paraId="50DFD43B" w14:textId="77777777" w:rsidR="00FB7795" w:rsidRPr="00E40361" w:rsidRDefault="00FB7795" w:rsidP="00FB7795">
      <w:pPr>
        <w:pStyle w:val="Normaalweb"/>
        <w:spacing w:before="0" w:beforeAutospacing="0" w:after="0" w:afterAutospacing="0"/>
        <w:rPr>
          <w:rFonts w:asciiTheme="minorHAnsi" w:eastAsiaTheme="minorEastAsia" w:hAnsiTheme="minorHAnsi" w:cstheme="minorBidi"/>
          <w:b/>
          <w:kern w:val="24"/>
        </w:rPr>
      </w:pPr>
      <w:r w:rsidRPr="00E40361">
        <w:rPr>
          <w:rFonts w:asciiTheme="minorHAnsi" w:eastAsiaTheme="minorEastAsia" w:hAnsiTheme="minorHAnsi" w:cstheme="minorBidi"/>
          <w:b/>
          <w:kern w:val="24"/>
        </w:rPr>
        <w:t xml:space="preserve">Auteur: </w:t>
      </w:r>
      <w:r>
        <w:rPr>
          <w:rFonts w:asciiTheme="minorHAnsi" w:eastAsiaTheme="minorEastAsia" w:hAnsiTheme="minorHAnsi" w:cstheme="minorBidi"/>
          <w:b/>
          <w:kern w:val="24"/>
        </w:rPr>
        <w:t>Britt van de Bovenkamp</w:t>
      </w:r>
      <w:r w:rsidRPr="00E40361">
        <w:rPr>
          <w:rFonts w:asciiTheme="minorHAnsi" w:eastAsiaTheme="minorEastAsia" w:hAnsiTheme="minorHAnsi" w:cstheme="minorBidi"/>
          <w:b/>
          <w:kern w:val="24"/>
        </w:rPr>
        <w:t xml:space="preserve">, docent verpleegkunde </w:t>
      </w:r>
    </w:p>
    <w:p w14:paraId="35DDCC0D" w14:textId="77777777" w:rsidR="00FB7795" w:rsidRPr="00E40361" w:rsidRDefault="00FB7795" w:rsidP="00FB7795">
      <w:pPr>
        <w:pStyle w:val="Normaalweb"/>
        <w:spacing w:before="0" w:beforeAutospacing="0" w:after="0" w:afterAutospacing="0"/>
        <w:rPr>
          <w:rFonts w:asciiTheme="minorHAnsi" w:eastAsiaTheme="minorEastAsia" w:hAnsiTheme="minorHAnsi" w:cstheme="minorBidi"/>
          <w:kern w:val="24"/>
        </w:rPr>
      </w:pPr>
    </w:p>
    <w:p w14:paraId="18E9E8CA" w14:textId="77777777" w:rsidR="00FB7795" w:rsidRPr="00E40361" w:rsidRDefault="00FB7795" w:rsidP="00FB7795">
      <w:pPr>
        <w:pStyle w:val="Normaalweb"/>
        <w:spacing w:before="0" w:beforeAutospacing="0" w:after="0" w:afterAutospacing="0"/>
        <w:rPr>
          <w:rFonts w:asciiTheme="minorHAnsi" w:eastAsiaTheme="minorEastAsia" w:hAnsiTheme="minorHAnsi" w:cstheme="minorBidi"/>
          <w:kern w:val="24"/>
        </w:rPr>
      </w:pPr>
      <w:r w:rsidRPr="00E40361">
        <w:rPr>
          <w:rFonts w:asciiTheme="minorHAnsi" w:eastAsiaTheme="minorEastAsia" w:hAnsiTheme="minorHAnsi" w:cstheme="minorBidi"/>
          <w:b/>
          <w:kern w:val="24"/>
        </w:rPr>
        <w:t>Open leermateriaal</w:t>
      </w:r>
      <w:r w:rsidRPr="00E40361">
        <w:rPr>
          <w:rFonts w:asciiTheme="minorHAnsi" w:eastAsiaTheme="minorEastAsia" w:hAnsiTheme="minorHAnsi" w:cstheme="minorBidi"/>
          <w:kern w:val="24"/>
        </w:rPr>
        <w:t xml:space="preserve">: </w:t>
      </w:r>
      <w:r>
        <w:rPr>
          <w:rFonts w:asciiTheme="minorHAnsi" w:eastAsiaTheme="minorEastAsia" w:hAnsiTheme="minorHAnsi" w:cstheme="minorBidi"/>
          <w:kern w:val="24"/>
        </w:rPr>
        <w:t>Woordpuzzel kwalitatief en kwantitatief onderzoek.</w:t>
      </w:r>
      <w:r w:rsidRPr="00E40361">
        <w:rPr>
          <w:rFonts w:asciiTheme="minorHAnsi" w:eastAsiaTheme="minorEastAsia" w:hAnsiTheme="minorHAnsi" w:cstheme="minorBidi"/>
          <w:kern w:val="24"/>
        </w:rPr>
        <w:t xml:space="preserve"> </w:t>
      </w:r>
    </w:p>
    <w:p w14:paraId="60944D98" w14:textId="77777777" w:rsidR="00FB7795" w:rsidRPr="00E40361" w:rsidRDefault="00FB7795" w:rsidP="00FB7795">
      <w:pPr>
        <w:pStyle w:val="Normaalweb"/>
        <w:spacing w:before="0" w:beforeAutospacing="0" w:after="0" w:afterAutospacing="0"/>
        <w:rPr>
          <w:rFonts w:asciiTheme="minorHAnsi" w:eastAsiaTheme="minorEastAsia" w:hAnsiTheme="minorHAnsi" w:cstheme="minorBidi"/>
          <w:b/>
          <w:kern w:val="24"/>
        </w:rPr>
      </w:pPr>
    </w:p>
    <w:p w14:paraId="3471B39C" w14:textId="14E8E4EE" w:rsidR="00FB7795" w:rsidRDefault="00FB7795" w:rsidP="00FB7795">
      <w:pPr>
        <w:pStyle w:val="Geenafstand"/>
        <w:spacing w:line="276" w:lineRule="auto"/>
        <w:rPr>
          <w:kern w:val="24"/>
          <w:sz w:val="24"/>
          <w:szCs w:val="24"/>
          <w:lang w:val="nl-NL"/>
        </w:rPr>
      </w:pPr>
      <w:r w:rsidRPr="00E40361">
        <w:rPr>
          <w:b/>
          <w:kern w:val="24"/>
          <w:sz w:val="24"/>
          <w:szCs w:val="24"/>
          <w:lang w:val="nl-NL"/>
        </w:rPr>
        <w:t>Doel opdracht</w:t>
      </w:r>
      <w:r w:rsidRPr="00E40361">
        <w:rPr>
          <w:kern w:val="24"/>
          <w:sz w:val="24"/>
          <w:szCs w:val="24"/>
          <w:lang w:val="nl-NL"/>
        </w:rPr>
        <w:t xml:space="preserve">: </w:t>
      </w:r>
      <w:r>
        <w:rPr>
          <w:kern w:val="24"/>
          <w:sz w:val="24"/>
          <w:szCs w:val="24"/>
          <w:lang w:val="nl-NL"/>
        </w:rPr>
        <w:t xml:space="preserve">Eerstejaars </w:t>
      </w:r>
      <w:proofErr w:type="spellStart"/>
      <w:r w:rsidR="007C0473">
        <w:rPr>
          <w:kern w:val="24"/>
          <w:sz w:val="24"/>
          <w:szCs w:val="24"/>
          <w:lang w:val="nl-NL"/>
        </w:rPr>
        <w:t>HBO-studenten</w:t>
      </w:r>
      <w:proofErr w:type="spellEnd"/>
      <w:r>
        <w:rPr>
          <w:kern w:val="24"/>
          <w:sz w:val="24"/>
          <w:szCs w:val="24"/>
          <w:lang w:val="nl-NL"/>
        </w:rPr>
        <w:t xml:space="preserve"> kennis laten maken met kwalitatieve en kwantitatieve </w:t>
      </w:r>
      <w:proofErr w:type="spellStart"/>
      <w:r>
        <w:rPr>
          <w:kern w:val="24"/>
          <w:sz w:val="24"/>
          <w:szCs w:val="24"/>
          <w:lang w:val="nl-NL"/>
        </w:rPr>
        <w:t>onderzoekstermen</w:t>
      </w:r>
      <w:proofErr w:type="spellEnd"/>
      <w:r>
        <w:rPr>
          <w:kern w:val="24"/>
          <w:sz w:val="24"/>
          <w:szCs w:val="24"/>
          <w:lang w:val="nl-NL"/>
        </w:rPr>
        <w:t>.</w:t>
      </w:r>
    </w:p>
    <w:p w14:paraId="09043706" w14:textId="77777777" w:rsidR="00FB7795" w:rsidRPr="00E40361" w:rsidRDefault="00FB7795" w:rsidP="00FB7795">
      <w:pPr>
        <w:pStyle w:val="Geenafstand"/>
        <w:spacing w:line="276" w:lineRule="auto"/>
        <w:rPr>
          <w:kern w:val="24"/>
          <w:sz w:val="24"/>
          <w:szCs w:val="24"/>
          <w:lang w:val="nl-NL"/>
        </w:rPr>
      </w:pPr>
    </w:p>
    <w:p w14:paraId="01BFA25F" w14:textId="77777777" w:rsidR="00FB7795" w:rsidRPr="00E40361" w:rsidRDefault="00FB7795" w:rsidP="00FB7795">
      <w:pPr>
        <w:pStyle w:val="Normaalweb"/>
        <w:spacing w:before="0" w:beforeAutospacing="0" w:after="0" w:afterAutospacing="0"/>
        <w:rPr>
          <w:rFonts w:asciiTheme="minorHAnsi" w:eastAsiaTheme="minorEastAsia" w:hAnsiTheme="minorHAnsi" w:cstheme="minorBidi"/>
          <w:kern w:val="24"/>
        </w:rPr>
      </w:pPr>
      <w:r w:rsidRPr="00E40361">
        <w:rPr>
          <w:rFonts w:asciiTheme="minorHAnsi" w:eastAsiaTheme="minorEastAsia" w:hAnsiTheme="minorHAnsi" w:cstheme="minorBidi"/>
          <w:b/>
          <w:kern w:val="24"/>
        </w:rPr>
        <w:t xml:space="preserve">Taxonomieniveau </w:t>
      </w:r>
      <w:r w:rsidRPr="00E40361">
        <w:rPr>
          <w:rFonts w:asciiTheme="minorHAnsi" w:eastAsiaTheme="minorEastAsia" w:hAnsiTheme="minorHAnsi" w:cstheme="minorBidi"/>
          <w:kern w:val="24"/>
        </w:rPr>
        <w:t xml:space="preserve">: Creëren - </w:t>
      </w:r>
      <w:r w:rsidRPr="009131FE">
        <w:rPr>
          <w:rFonts w:asciiTheme="minorHAnsi" w:eastAsiaTheme="minorEastAsia" w:hAnsiTheme="minorHAnsi" w:cstheme="minorBidi"/>
          <w:b/>
          <w:bCs/>
          <w:kern w:val="24"/>
        </w:rPr>
        <w:t>Evalueren</w:t>
      </w:r>
      <w:r w:rsidRPr="00E40361">
        <w:rPr>
          <w:rFonts w:asciiTheme="minorHAnsi" w:eastAsiaTheme="minorEastAsia" w:hAnsiTheme="minorHAnsi" w:cstheme="minorBidi"/>
          <w:kern w:val="24"/>
        </w:rPr>
        <w:t xml:space="preserve"> – </w:t>
      </w:r>
      <w:r w:rsidRPr="009131FE">
        <w:rPr>
          <w:rFonts w:asciiTheme="minorHAnsi" w:eastAsiaTheme="minorEastAsia" w:hAnsiTheme="minorHAnsi" w:cstheme="minorBidi"/>
          <w:b/>
          <w:bCs/>
          <w:kern w:val="24"/>
        </w:rPr>
        <w:t>Analyseren</w:t>
      </w:r>
      <w:r w:rsidRPr="00E40361">
        <w:rPr>
          <w:rFonts w:asciiTheme="minorHAnsi" w:eastAsiaTheme="minorEastAsia" w:hAnsiTheme="minorHAnsi" w:cstheme="minorBidi"/>
          <w:kern w:val="24"/>
        </w:rPr>
        <w:t xml:space="preserve"> – Toepassen – </w:t>
      </w:r>
      <w:r w:rsidRPr="009131FE">
        <w:rPr>
          <w:rFonts w:asciiTheme="minorHAnsi" w:eastAsiaTheme="minorEastAsia" w:hAnsiTheme="minorHAnsi" w:cstheme="minorBidi"/>
          <w:b/>
          <w:bCs/>
          <w:kern w:val="24"/>
        </w:rPr>
        <w:t>Begrijpen</w:t>
      </w:r>
      <w:r w:rsidRPr="00E40361">
        <w:rPr>
          <w:rFonts w:asciiTheme="minorHAnsi" w:eastAsiaTheme="minorEastAsia" w:hAnsiTheme="minorHAnsi" w:cstheme="minorBidi"/>
          <w:kern w:val="24"/>
        </w:rPr>
        <w:t xml:space="preserve"> – </w:t>
      </w:r>
      <w:r w:rsidRPr="009131FE">
        <w:rPr>
          <w:rFonts w:asciiTheme="minorHAnsi" w:eastAsiaTheme="minorEastAsia" w:hAnsiTheme="minorHAnsi" w:cstheme="minorBidi"/>
          <w:b/>
          <w:bCs/>
          <w:kern w:val="24"/>
        </w:rPr>
        <w:t>Onthouden</w:t>
      </w:r>
      <w:r w:rsidRPr="00E40361">
        <w:rPr>
          <w:rFonts w:asciiTheme="minorHAnsi" w:eastAsiaTheme="minorEastAsia" w:hAnsiTheme="minorHAnsi" w:cstheme="minorBidi"/>
          <w:kern w:val="24"/>
        </w:rPr>
        <w:t xml:space="preserve"> </w:t>
      </w:r>
    </w:p>
    <w:p w14:paraId="2FC4CB0A" w14:textId="77777777" w:rsidR="00FB7795" w:rsidRPr="00E40361" w:rsidRDefault="00FB7795" w:rsidP="00FB7795">
      <w:pPr>
        <w:pStyle w:val="Normaalweb"/>
        <w:spacing w:before="0" w:beforeAutospacing="0" w:after="0" w:afterAutospacing="0"/>
        <w:rPr>
          <w:rFonts w:asciiTheme="minorHAnsi" w:eastAsiaTheme="minorEastAsia" w:hAnsiTheme="minorHAnsi" w:cstheme="minorBidi"/>
          <w:kern w:val="24"/>
        </w:rPr>
      </w:pPr>
    </w:p>
    <w:p w14:paraId="2BADFEC6" w14:textId="77777777" w:rsidR="00FB7795" w:rsidRPr="00E40361" w:rsidRDefault="00FB7795" w:rsidP="00FB7795">
      <w:pPr>
        <w:pStyle w:val="Normaalweb"/>
        <w:spacing w:before="0" w:beforeAutospacing="0" w:after="0" w:afterAutospacing="0"/>
        <w:rPr>
          <w:rFonts w:asciiTheme="minorHAnsi" w:eastAsiaTheme="minorEastAsia" w:hAnsiTheme="minorHAnsi" w:cstheme="minorBidi"/>
          <w:b/>
          <w:kern w:val="24"/>
        </w:rPr>
      </w:pPr>
      <w:r w:rsidRPr="00E40361">
        <w:rPr>
          <w:rFonts w:asciiTheme="minorHAnsi" w:eastAsiaTheme="minorEastAsia" w:hAnsiTheme="minorHAnsi" w:cstheme="minorBidi"/>
          <w:b/>
          <w:kern w:val="24"/>
        </w:rPr>
        <w:t xml:space="preserve">Werkwijze: </w:t>
      </w:r>
    </w:p>
    <w:p w14:paraId="4D13CEFD" w14:textId="45A33250" w:rsidR="00FB7795" w:rsidRDefault="00FB7795" w:rsidP="00FB7795">
      <w:pPr>
        <w:pStyle w:val="Geenafstand"/>
        <w:rPr>
          <w:lang w:val="nl-NL"/>
        </w:rPr>
      </w:pPr>
      <w:r w:rsidRPr="009131FE">
        <w:rPr>
          <w:lang w:val="nl-NL"/>
        </w:rPr>
        <w:t>Tijdens deze werkvorm wordt voorkennis geactiveerd over welke termen bij welk type onderzoek passen. Bij het wisselen van de groepjes en de puzzels</w:t>
      </w:r>
      <w:r w:rsidR="007C0473">
        <w:rPr>
          <w:lang w:val="nl-NL"/>
        </w:rPr>
        <w:t>,</w:t>
      </w:r>
      <w:r w:rsidRPr="009131FE">
        <w:rPr>
          <w:lang w:val="nl-NL"/>
        </w:rPr>
        <w:t xml:space="preserve"> evalueren en analyseren de studenten of de andere groepjes het correct hebben gedaan. Tijdens het nabespreken wordt er op de betekenis van de begrippen ingegaan. </w:t>
      </w:r>
    </w:p>
    <w:p w14:paraId="0BF8B0AE" w14:textId="77777777" w:rsidR="00FB7795" w:rsidRDefault="00FB7795" w:rsidP="00FB7795">
      <w:pPr>
        <w:pStyle w:val="Geenafstand"/>
        <w:rPr>
          <w:lang w:val="nl-NL"/>
        </w:rPr>
      </w:pPr>
    </w:p>
    <w:p w14:paraId="5E9EC4D9" w14:textId="77777777" w:rsidR="00FB7795" w:rsidRPr="00B54DBE" w:rsidRDefault="00FB7795" w:rsidP="00FB7795">
      <w:pPr>
        <w:pStyle w:val="Geenafstand"/>
        <w:rPr>
          <w:b/>
          <w:bCs/>
          <w:lang w:val="nl-NL"/>
        </w:rPr>
      </w:pPr>
      <w:r w:rsidRPr="00B54DBE">
        <w:rPr>
          <w:b/>
          <w:bCs/>
          <w:lang w:val="nl-NL"/>
        </w:rPr>
        <w:t>Tijd:</w:t>
      </w:r>
    </w:p>
    <w:p w14:paraId="0BF2972C" w14:textId="29AACCC4" w:rsidR="00FB7795" w:rsidRDefault="00FB7795" w:rsidP="00FB7795">
      <w:pPr>
        <w:pStyle w:val="Geenafstand"/>
        <w:rPr>
          <w:lang w:val="nl-NL"/>
        </w:rPr>
      </w:pPr>
      <w:r>
        <w:rPr>
          <w:lang w:val="nl-NL"/>
        </w:rPr>
        <w:t>30 minuten</w:t>
      </w:r>
    </w:p>
    <w:p w14:paraId="187E32CD" w14:textId="3C6FB3C5" w:rsidR="00FB7795" w:rsidRDefault="00FB7795" w:rsidP="00FB7795">
      <w:pPr>
        <w:pStyle w:val="Geenafstand"/>
        <w:rPr>
          <w:lang w:val="nl-NL"/>
        </w:rPr>
      </w:pPr>
    </w:p>
    <w:p w14:paraId="3BEB5027" w14:textId="77777777" w:rsidR="00FB7795" w:rsidRDefault="00FB7795" w:rsidP="00FB7795">
      <w:pPr>
        <w:rPr>
          <w:b/>
          <w:bCs/>
        </w:rPr>
      </w:pPr>
      <w:r>
        <w:rPr>
          <w:b/>
          <w:bCs/>
        </w:rPr>
        <w:t>Bron</w:t>
      </w:r>
    </w:p>
    <w:p w14:paraId="4D6EB20C" w14:textId="77777777" w:rsidR="00FB7795" w:rsidRPr="00E40361" w:rsidRDefault="00FB7795" w:rsidP="00FB7795">
      <w:pPr>
        <w:pStyle w:val="Geenafstand"/>
        <w:spacing w:line="276" w:lineRule="auto"/>
        <w:rPr>
          <w:sz w:val="24"/>
          <w:szCs w:val="24"/>
          <w:lang w:val="nl-NL"/>
        </w:rPr>
      </w:pPr>
      <w:r w:rsidRPr="00E40361">
        <w:rPr>
          <w:sz w:val="24"/>
          <w:szCs w:val="24"/>
          <w:lang w:val="nl-NL"/>
        </w:rPr>
        <w:t xml:space="preserve">Aangepast door BPV-docenten van AGZ-verpleegkunde van Avans Hogeschool en gebaseerd op: </w:t>
      </w:r>
    </w:p>
    <w:p w14:paraId="2AB153F2" w14:textId="77777777" w:rsidR="00FB7795" w:rsidRDefault="00FB7795" w:rsidP="00FB7795">
      <w:r w:rsidRPr="009131FE">
        <w:t xml:space="preserve">Dobber, J., Harmsen-Goossens, J., &amp; van Iersel, M. (2021). </w:t>
      </w:r>
      <w:r w:rsidRPr="009131FE">
        <w:rPr>
          <w:i/>
          <w:iCs/>
        </w:rPr>
        <w:t xml:space="preserve">Klinisch redeneren en </w:t>
      </w:r>
      <w:proofErr w:type="spellStart"/>
      <w:r w:rsidRPr="009131FE">
        <w:rPr>
          <w:i/>
          <w:iCs/>
        </w:rPr>
        <w:t>evidence-based</w:t>
      </w:r>
      <w:proofErr w:type="spellEnd"/>
      <w:r w:rsidRPr="009131FE">
        <w:rPr>
          <w:i/>
          <w:iCs/>
        </w:rPr>
        <w:t xml:space="preserve"> </w:t>
      </w:r>
      <w:proofErr w:type="spellStart"/>
      <w:r w:rsidRPr="009131FE">
        <w:rPr>
          <w:i/>
          <w:iCs/>
        </w:rPr>
        <w:t>practice</w:t>
      </w:r>
      <w:proofErr w:type="spellEnd"/>
      <w:r w:rsidRPr="009131FE">
        <w:rPr>
          <w:i/>
          <w:iCs/>
        </w:rPr>
        <w:t>: weloverwogen besluitvorming door verpleegkundigen</w:t>
      </w:r>
      <w:r w:rsidRPr="009131FE">
        <w:t>. Bohn Stafleu van Loghum.</w:t>
      </w:r>
    </w:p>
    <w:p w14:paraId="7AA81E5A" w14:textId="3A597EE8" w:rsidR="00FB7795" w:rsidRDefault="00FB7795">
      <w:pPr>
        <w:rPr>
          <w:b/>
          <w:bCs/>
          <w:sz w:val="24"/>
          <w:szCs w:val="24"/>
        </w:rPr>
      </w:pPr>
    </w:p>
    <w:p w14:paraId="370D20EB" w14:textId="596F7437" w:rsidR="00EC4280" w:rsidRPr="00853C02" w:rsidRDefault="00FB77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Instructie </w:t>
      </w:r>
      <w:r w:rsidR="0004686C" w:rsidRPr="00853C02">
        <w:rPr>
          <w:b/>
          <w:bCs/>
          <w:sz w:val="24"/>
          <w:szCs w:val="24"/>
        </w:rPr>
        <w:t>BINGO!</w:t>
      </w:r>
      <w:r>
        <w:rPr>
          <w:b/>
          <w:bCs/>
          <w:sz w:val="24"/>
          <w:szCs w:val="24"/>
        </w:rPr>
        <w:t>:</w:t>
      </w:r>
    </w:p>
    <w:p w14:paraId="28C3E54E" w14:textId="7ACBD87A" w:rsidR="0004686C" w:rsidRPr="00853C02" w:rsidRDefault="00FB7795" w:rsidP="0004686C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student r</w:t>
      </w:r>
      <w:r w:rsidR="0004686C" w:rsidRPr="00853C02">
        <w:rPr>
          <w:sz w:val="24"/>
          <w:szCs w:val="24"/>
        </w:rPr>
        <w:t>oep</w:t>
      </w:r>
      <w:r>
        <w:rPr>
          <w:sz w:val="24"/>
          <w:szCs w:val="24"/>
        </w:rPr>
        <w:t>t</w:t>
      </w:r>
      <w:r w:rsidR="0004686C" w:rsidRPr="00853C02">
        <w:rPr>
          <w:sz w:val="24"/>
          <w:szCs w:val="24"/>
        </w:rPr>
        <w:t xml:space="preserve"> </w:t>
      </w:r>
      <w:r w:rsidR="00853C02">
        <w:rPr>
          <w:sz w:val="24"/>
          <w:szCs w:val="24"/>
        </w:rPr>
        <w:t>BINGO</w:t>
      </w:r>
      <w:r w:rsidR="0004686C" w:rsidRPr="00853C02">
        <w:rPr>
          <w:sz w:val="24"/>
          <w:szCs w:val="24"/>
        </w:rPr>
        <w:t xml:space="preserve"> wanneer </w:t>
      </w:r>
      <w:r w:rsidR="007C0473">
        <w:rPr>
          <w:sz w:val="24"/>
          <w:szCs w:val="24"/>
        </w:rPr>
        <w:t>hij</w:t>
      </w:r>
      <w:r w:rsidR="0004686C" w:rsidRPr="00853C02">
        <w:rPr>
          <w:sz w:val="24"/>
          <w:szCs w:val="24"/>
        </w:rPr>
        <w:t xml:space="preserve"> </w:t>
      </w:r>
      <w:r w:rsidR="00517968" w:rsidRPr="00853C02">
        <w:rPr>
          <w:b/>
          <w:bCs/>
          <w:sz w:val="24"/>
          <w:szCs w:val="24"/>
          <w:highlight w:val="yellow"/>
        </w:rPr>
        <w:t>4</w:t>
      </w:r>
      <w:r w:rsidR="0004686C" w:rsidRPr="00853C02">
        <w:rPr>
          <w:sz w:val="24"/>
          <w:szCs w:val="24"/>
        </w:rPr>
        <w:t xml:space="preserve"> op een rij he</w:t>
      </w:r>
      <w:r>
        <w:rPr>
          <w:sz w:val="24"/>
          <w:szCs w:val="24"/>
        </w:rPr>
        <w:t>eft</w:t>
      </w:r>
      <w:r w:rsidR="0004686C" w:rsidRPr="00853C02">
        <w:rPr>
          <w:sz w:val="24"/>
          <w:szCs w:val="24"/>
        </w:rPr>
        <w:t xml:space="preserve"> </w:t>
      </w:r>
      <w:r w:rsidR="00517968" w:rsidRPr="00853C02">
        <w:rPr>
          <w:sz w:val="24"/>
          <w:szCs w:val="24"/>
        </w:rPr>
        <w:t xml:space="preserve"> </w:t>
      </w:r>
      <w:r w:rsidR="00853C02">
        <w:rPr>
          <w:sz w:val="24"/>
          <w:szCs w:val="24"/>
        </w:rPr>
        <w:t>(</w:t>
      </w:r>
      <w:r w:rsidR="0004686C" w:rsidRPr="00853C02">
        <w:rPr>
          <w:sz w:val="24"/>
          <w:szCs w:val="24"/>
        </w:rPr>
        <w:t>verticaal, horizontaal of diagonaal</w:t>
      </w:r>
      <w:r w:rsidR="00853C02">
        <w:rPr>
          <w:sz w:val="24"/>
          <w:szCs w:val="24"/>
        </w:rPr>
        <w:t>)</w:t>
      </w:r>
      <w:r w:rsidR="0004686C" w:rsidRPr="00853C02">
        <w:rPr>
          <w:sz w:val="24"/>
          <w:szCs w:val="24"/>
        </w:rPr>
        <w:t xml:space="preserve">! </w:t>
      </w:r>
    </w:p>
    <w:p w14:paraId="08342D84" w14:textId="38D47719" w:rsidR="0004686C" w:rsidRPr="00853C02" w:rsidRDefault="0004686C" w:rsidP="0004686C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853C02">
        <w:rPr>
          <w:sz w:val="24"/>
          <w:szCs w:val="24"/>
        </w:rPr>
        <w:t>Wie als eerst BINGO heeft wint een prijs</w:t>
      </w:r>
    </w:p>
    <w:p w14:paraId="49E9C323" w14:textId="7F2A1A7C" w:rsidR="00FB7795" w:rsidRDefault="0004686C" w:rsidP="0004686C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853C02">
        <w:rPr>
          <w:sz w:val="24"/>
          <w:szCs w:val="24"/>
        </w:rPr>
        <w:t>Een valse BINGO = trakteren</w:t>
      </w:r>
      <w:r w:rsidRPr="00853C0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D4709A6" w14:textId="77777777" w:rsidR="00FB7795" w:rsidRDefault="00FB779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raster"/>
        <w:tblpPr w:leftFromText="141" w:rightFromText="141" w:horzAnchor="margin" w:tblpY="1760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2546"/>
      </w:tblGrid>
      <w:tr w:rsidR="00FB7795" w14:paraId="237DA5C1" w14:textId="77777777" w:rsidTr="00532A76">
        <w:trPr>
          <w:trHeight w:val="1349"/>
        </w:trPr>
        <w:tc>
          <w:tcPr>
            <w:tcW w:w="2689" w:type="dxa"/>
          </w:tcPr>
          <w:p w14:paraId="7949EFDB" w14:textId="77777777" w:rsidR="00FB7795" w:rsidRDefault="00FB7795" w:rsidP="00532A76">
            <w:pPr>
              <w:rPr>
                <w:sz w:val="36"/>
                <w:szCs w:val="36"/>
              </w:rPr>
            </w:pPr>
            <w:r w:rsidRPr="00517968">
              <w:rPr>
                <w:sz w:val="36"/>
                <w:szCs w:val="36"/>
              </w:rPr>
              <w:lastRenderedPageBreak/>
              <w:t>Toepasbaarheid</w:t>
            </w:r>
          </w:p>
          <w:p w14:paraId="24839A7F" w14:textId="77777777" w:rsidR="00FB7795" w:rsidRPr="00517968" w:rsidRDefault="00FB7795" w:rsidP="00532A76">
            <w:pPr>
              <w:rPr>
                <w:sz w:val="36"/>
                <w:szCs w:val="36"/>
              </w:rPr>
            </w:pPr>
          </w:p>
          <w:p w14:paraId="67CAD061" w14:textId="77777777" w:rsidR="00FB7795" w:rsidRPr="00517968" w:rsidRDefault="00FB7795" w:rsidP="00532A76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6AA8F5B3" w14:textId="77777777" w:rsidR="00FB7795" w:rsidRPr="00517968" w:rsidRDefault="00FB7795" w:rsidP="00532A76">
            <w:pPr>
              <w:rPr>
                <w:sz w:val="36"/>
                <w:szCs w:val="36"/>
              </w:rPr>
            </w:pPr>
            <w:r w:rsidRPr="00517968">
              <w:rPr>
                <w:sz w:val="36"/>
                <w:szCs w:val="36"/>
              </w:rPr>
              <w:t xml:space="preserve">Herhaalbaarheid </w:t>
            </w:r>
          </w:p>
        </w:tc>
        <w:tc>
          <w:tcPr>
            <w:tcW w:w="2546" w:type="dxa"/>
          </w:tcPr>
          <w:p w14:paraId="6EE6B369" w14:textId="77777777" w:rsidR="00FB7795" w:rsidRPr="00517968" w:rsidRDefault="00FB7795" w:rsidP="00532A76">
            <w:pPr>
              <w:rPr>
                <w:sz w:val="36"/>
                <w:szCs w:val="36"/>
              </w:rPr>
            </w:pPr>
            <w:r w:rsidRPr="00517968">
              <w:rPr>
                <w:sz w:val="36"/>
                <w:szCs w:val="36"/>
              </w:rPr>
              <w:t xml:space="preserve">Neutraliteit </w:t>
            </w:r>
          </w:p>
        </w:tc>
      </w:tr>
      <w:tr w:rsidR="00FB7795" w14:paraId="690D4A9A" w14:textId="77777777" w:rsidTr="00532A76">
        <w:trPr>
          <w:trHeight w:val="1349"/>
        </w:trPr>
        <w:tc>
          <w:tcPr>
            <w:tcW w:w="2689" w:type="dxa"/>
          </w:tcPr>
          <w:p w14:paraId="264C9217" w14:textId="77777777" w:rsidR="00FB7795" w:rsidRPr="00517968" w:rsidRDefault="00FB7795" w:rsidP="00532A76">
            <w:pPr>
              <w:rPr>
                <w:sz w:val="36"/>
                <w:szCs w:val="36"/>
              </w:rPr>
            </w:pPr>
            <w:r w:rsidRPr="00517968">
              <w:rPr>
                <w:sz w:val="36"/>
                <w:szCs w:val="36"/>
              </w:rPr>
              <w:t xml:space="preserve">Etnografisch onderzoek </w:t>
            </w:r>
          </w:p>
        </w:tc>
        <w:tc>
          <w:tcPr>
            <w:tcW w:w="3827" w:type="dxa"/>
          </w:tcPr>
          <w:p w14:paraId="628D3FF0" w14:textId="77777777" w:rsidR="00FB7795" w:rsidRPr="00517968" w:rsidRDefault="00FB7795" w:rsidP="00532A76">
            <w:pPr>
              <w:rPr>
                <w:sz w:val="36"/>
                <w:szCs w:val="36"/>
              </w:rPr>
            </w:pPr>
            <w:r w:rsidRPr="00517968">
              <w:rPr>
                <w:sz w:val="36"/>
                <w:szCs w:val="36"/>
              </w:rPr>
              <w:t xml:space="preserve">Werkelijkheidswaarde </w:t>
            </w:r>
          </w:p>
        </w:tc>
        <w:tc>
          <w:tcPr>
            <w:tcW w:w="2546" w:type="dxa"/>
          </w:tcPr>
          <w:p w14:paraId="5FDAD43E" w14:textId="77777777" w:rsidR="00FB7795" w:rsidRPr="00517968" w:rsidRDefault="00FB7795" w:rsidP="00532A76">
            <w:pPr>
              <w:rPr>
                <w:sz w:val="36"/>
                <w:szCs w:val="36"/>
              </w:rPr>
            </w:pPr>
            <w:r w:rsidRPr="00517968">
              <w:rPr>
                <w:sz w:val="36"/>
                <w:szCs w:val="36"/>
              </w:rPr>
              <w:t xml:space="preserve">Bias </w:t>
            </w:r>
          </w:p>
        </w:tc>
      </w:tr>
      <w:tr w:rsidR="00FB7795" w14:paraId="12F20F59" w14:textId="77777777" w:rsidTr="00532A76">
        <w:trPr>
          <w:trHeight w:val="1349"/>
        </w:trPr>
        <w:tc>
          <w:tcPr>
            <w:tcW w:w="2689" w:type="dxa"/>
          </w:tcPr>
          <w:p w14:paraId="3DF3EE5B" w14:textId="77777777" w:rsidR="00FB7795" w:rsidRPr="00517968" w:rsidRDefault="00FB7795" w:rsidP="00532A76">
            <w:pPr>
              <w:rPr>
                <w:sz w:val="36"/>
                <w:szCs w:val="36"/>
              </w:rPr>
            </w:pPr>
            <w:r w:rsidRPr="00517968">
              <w:rPr>
                <w:sz w:val="36"/>
                <w:szCs w:val="36"/>
              </w:rPr>
              <w:t xml:space="preserve">Triangulatie </w:t>
            </w:r>
          </w:p>
        </w:tc>
        <w:tc>
          <w:tcPr>
            <w:tcW w:w="3827" w:type="dxa"/>
          </w:tcPr>
          <w:p w14:paraId="520BEEED" w14:textId="77777777" w:rsidR="00FB7795" w:rsidRPr="00517968" w:rsidRDefault="00FB7795" w:rsidP="00532A76">
            <w:pPr>
              <w:rPr>
                <w:sz w:val="36"/>
                <w:szCs w:val="36"/>
              </w:rPr>
            </w:pPr>
            <w:r w:rsidRPr="00517968">
              <w:rPr>
                <w:sz w:val="36"/>
                <w:szCs w:val="36"/>
              </w:rPr>
              <w:t xml:space="preserve">Peer debriefing </w:t>
            </w:r>
          </w:p>
          <w:p w14:paraId="2ED9DA15" w14:textId="77777777" w:rsidR="00FB7795" w:rsidRPr="00517968" w:rsidRDefault="00FB7795" w:rsidP="00532A76">
            <w:pPr>
              <w:rPr>
                <w:sz w:val="36"/>
                <w:szCs w:val="36"/>
              </w:rPr>
            </w:pPr>
          </w:p>
        </w:tc>
        <w:tc>
          <w:tcPr>
            <w:tcW w:w="2546" w:type="dxa"/>
          </w:tcPr>
          <w:p w14:paraId="76902540" w14:textId="77777777" w:rsidR="00FB7795" w:rsidRPr="00517968" w:rsidRDefault="00FB7795" w:rsidP="00532A76">
            <w:pPr>
              <w:rPr>
                <w:sz w:val="36"/>
                <w:szCs w:val="36"/>
              </w:rPr>
            </w:pPr>
            <w:r w:rsidRPr="00517968">
              <w:rPr>
                <w:sz w:val="36"/>
                <w:szCs w:val="36"/>
              </w:rPr>
              <w:t xml:space="preserve">Interne validiteit </w:t>
            </w:r>
          </w:p>
        </w:tc>
      </w:tr>
      <w:tr w:rsidR="00FB7795" w14:paraId="06F3574C" w14:textId="77777777" w:rsidTr="00532A76">
        <w:trPr>
          <w:trHeight w:val="1349"/>
        </w:trPr>
        <w:tc>
          <w:tcPr>
            <w:tcW w:w="2689" w:type="dxa"/>
          </w:tcPr>
          <w:p w14:paraId="6B438FFD" w14:textId="77777777" w:rsidR="00FB7795" w:rsidRPr="00517968" w:rsidRDefault="00FB7795" w:rsidP="00532A76">
            <w:pPr>
              <w:rPr>
                <w:sz w:val="36"/>
                <w:szCs w:val="36"/>
              </w:rPr>
            </w:pPr>
            <w:r w:rsidRPr="00517968">
              <w:rPr>
                <w:sz w:val="36"/>
                <w:szCs w:val="36"/>
              </w:rPr>
              <w:t xml:space="preserve">Interviews </w:t>
            </w:r>
          </w:p>
        </w:tc>
        <w:tc>
          <w:tcPr>
            <w:tcW w:w="3827" w:type="dxa"/>
          </w:tcPr>
          <w:p w14:paraId="19F7C1C4" w14:textId="77777777" w:rsidR="00FB7795" w:rsidRPr="00517968" w:rsidRDefault="00FB7795" w:rsidP="00532A76">
            <w:pPr>
              <w:rPr>
                <w:sz w:val="36"/>
                <w:szCs w:val="36"/>
              </w:rPr>
            </w:pPr>
            <w:r w:rsidRPr="00517968">
              <w:rPr>
                <w:sz w:val="36"/>
                <w:szCs w:val="36"/>
              </w:rPr>
              <w:t xml:space="preserve">Member </w:t>
            </w:r>
            <w:proofErr w:type="spellStart"/>
            <w:r w:rsidRPr="00517968">
              <w:rPr>
                <w:sz w:val="36"/>
                <w:szCs w:val="36"/>
              </w:rPr>
              <w:t>checking</w:t>
            </w:r>
            <w:proofErr w:type="spellEnd"/>
            <w:r w:rsidRPr="00517968">
              <w:rPr>
                <w:sz w:val="36"/>
                <w:szCs w:val="36"/>
              </w:rPr>
              <w:t xml:space="preserve"> </w:t>
            </w:r>
          </w:p>
        </w:tc>
        <w:tc>
          <w:tcPr>
            <w:tcW w:w="2546" w:type="dxa"/>
          </w:tcPr>
          <w:p w14:paraId="50D1428F" w14:textId="77777777" w:rsidR="00FB7795" w:rsidRPr="00517968" w:rsidRDefault="00FB7795" w:rsidP="00532A76">
            <w:pPr>
              <w:rPr>
                <w:sz w:val="36"/>
                <w:szCs w:val="36"/>
              </w:rPr>
            </w:pPr>
            <w:r w:rsidRPr="00517968">
              <w:rPr>
                <w:sz w:val="36"/>
                <w:szCs w:val="36"/>
              </w:rPr>
              <w:t xml:space="preserve">Saturatie </w:t>
            </w:r>
          </w:p>
        </w:tc>
      </w:tr>
    </w:tbl>
    <w:p w14:paraId="0DB74F28" w14:textId="4C9BB869" w:rsidR="002A3BDE" w:rsidRPr="002A3BDE" w:rsidRDefault="00517968">
      <w:r>
        <w:br w:type="page"/>
      </w:r>
    </w:p>
    <w:tbl>
      <w:tblPr>
        <w:tblStyle w:val="Tabelraster"/>
        <w:tblpPr w:leftFromText="141" w:rightFromText="141" w:vertAnchor="page" w:horzAnchor="margin" w:tblpY="8861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2546"/>
      </w:tblGrid>
      <w:tr w:rsidR="002A3BDE" w14:paraId="584079F7" w14:textId="77777777" w:rsidTr="002A3BDE">
        <w:trPr>
          <w:trHeight w:val="1349"/>
        </w:trPr>
        <w:tc>
          <w:tcPr>
            <w:tcW w:w="2689" w:type="dxa"/>
          </w:tcPr>
          <w:p w14:paraId="5E6D3501" w14:textId="77777777" w:rsidR="002A3BDE" w:rsidRPr="00517968" w:rsidRDefault="002A3BDE" w:rsidP="002A3BDE">
            <w:pPr>
              <w:rPr>
                <w:sz w:val="36"/>
                <w:szCs w:val="36"/>
              </w:rPr>
            </w:pPr>
            <w:r w:rsidRPr="00517968">
              <w:rPr>
                <w:sz w:val="36"/>
                <w:szCs w:val="36"/>
              </w:rPr>
              <w:lastRenderedPageBreak/>
              <w:t xml:space="preserve">Toepasbaarheid </w:t>
            </w:r>
          </w:p>
          <w:p w14:paraId="1E97501E" w14:textId="77777777" w:rsidR="002A3BDE" w:rsidRPr="00517968" w:rsidRDefault="002A3BDE" w:rsidP="002A3BDE">
            <w:pPr>
              <w:rPr>
                <w:sz w:val="36"/>
                <w:szCs w:val="36"/>
              </w:rPr>
            </w:pPr>
            <w:r w:rsidRPr="00FB7795">
              <w:rPr>
                <w:sz w:val="36"/>
                <w:szCs w:val="36"/>
                <w:highlight w:val="yellow"/>
              </w:rPr>
              <w:t>X</w:t>
            </w:r>
          </w:p>
        </w:tc>
        <w:tc>
          <w:tcPr>
            <w:tcW w:w="3827" w:type="dxa"/>
          </w:tcPr>
          <w:p w14:paraId="2DE93FD4" w14:textId="77777777" w:rsidR="002A3BDE" w:rsidRPr="00517968" w:rsidRDefault="002A3BDE" w:rsidP="002A3BDE">
            <w:pPr>
              <w:rPr>
                <w:sz w:val="36"/>
                <w:szCs w:val="36"/>
              </w:rPr>
            </w:pPr>
            <w:r w:rsidRPr="00517968">
              <w:rPr>
                <w:sz w:val="36"/>
                <w:szCs w:val="36"/>
              </w:rPr>
              <w:t xml:space="preserve">Herhaalbaarheid </w:t>
            </w:r>
            <w:r w:rsidRPr="00FB7795">
              <w:rPr>
                <w:sz w:val="36"/>
                <w:szCs w:val="36"/>
                <w:highlight w:val="yellow"/>
              </w:rPr>
              <w:t>X</w:t>
            </w:r>
          </w:p>
        </w:tc>
        <w:tc>
          <w:tcPr>
            <w:tcW w:w="2546" w:type="dxa"/>
          </w:tcPr>
          <w:p w14:paraId="684272F1" w14:textId="77777777" w:rsidR="002A3BDE" w:rsidRPr="00517968" w:rsidRDefault="002A3BDE" w:rsidP="002A3BDE">
            <w:pPr>
              <w:rPr>
                <w:sz w:val="36"/>
                <w:szCs w:val="36"/>
              </w:rPr>
            </w:pPr>
            <w:r w:rsidRPr="00517968">
              <w:rPr>
                <w:sz w:val="36"/>
                <w:szCs w:val="36"/>
              </w:rPr>
              <w:t xml:space="preserve">Neutraliteit </w:t>
            </w:r>
            <w:r w:rsidRPr="00FB7795">
              <w:rPr>
                <w:sz w:val="36"/>
                <w:szCs w:val="36"/>
                <w:highlight w:val="yellow"/>
              </w:rPr>
              <w:t>X</w:t>
            </w:r>
          </w:p>
        </w:tc>
      </w:tr>
      <w:tr w:rsidR="002A3BDE" w14:paraId="317947E6" w14:textId="77777777" w:rsidTr="002A3BDE">
        <w:trPr>
          <w:trHeight w:val="1349"/>
        </w:trPr>
        <w:tc>
          <w:tcPr>
            <w:tcW w:w="2689" w:type="dxa"/>
          </w:tcPr>
          <w:p w14:paraId="3C93E095" w14:textId="77777777" w:rsidR="002A3BDE" w:rsidRPr="00517968" w:rsidRDefault="002A3BDE" w:rsidP="002A3BDE">
            <w:pPr>
              <w:rPr>
                <w:sz w:val="36"/>
                <w:szCs w:val="36"/>
              </w:rPr>
            </w:pPr>
            <w:r w:rsidRPr="00517968">
              <w:rPr>
                <w:sz w:val="36"/>
                <w:szCs w:val="36"/>
              </w:rPr>
              <w:t xml:space="preserve">Etnografisch onderzoek </w:t>
            </w:r>
          </w:p>
        </w:tc>
        <w:tc>
          <w:tcPr>
            <w:tcW w:w="3827" w:type="dxa"/>
          </w:tcPr>
          <w:p w14:paraId="101B8488" w14:textId="77777777" w:rsidR="002A3BDE" w:rsidRPr="00517968" w:rsidRDefault="002A3BDE" w:rsidP="002A3BDE">
            <w:pPr>
              <w:rPr>
                <w:sz w:val="36"/>
                <w:szCs w:val="36"/>
              </w:rPr>
            </w:pPr>
          </w:p>
          <w:p w14:paraId="0AB80510" w14:textId="77777777" w:rsidR="002A3BDE" w:rsidRPr="00517968" w:rsidRDefault="002A3BDE" w:rsidP="002A3BDE">
            <w:pPr>
              <w:rPr>
                <w:sz w:val="36"/>
                <w:szCs w:val="36"/>
              </w:rPr>
            </w:pPr>
            <w:r w:rsidRPr="00517968">
              <w:rPr>
                <w:sz w:val="36"/>
                <w:szCs w:val="36"/>
              </w:rPr>
              <w:t xml:space="preserve">Werkelijkheidswaarde </w:t>
            </w:r>
            <w:r w:rsidRPr="00FB7795">
              <w:rPr>
                <w:sz w:val="36"/>
                <w:szCs w:val="36"/>
                <w:highlight w:val="yellow"/>
              </w:rPr>
              <w:t>X</w:t>
            </w:r>
          </w:p>
        </w:tc>
        <w:tc>
          <w:tcPr>
            <w:tcW w:w="2546" w:type="dxa"/>
          </w:tcPr>
          <w:p w14:paraId="50A6FE5E" w14:textId="77777777" w:rsidR="002A3BDE" w:rsidRPr="00517968" w:rsidRDefault="002A3BDE" w:rsidP="002A3BDE">
            <w:pPr>
              <w:rPr>
                <w:sz w:val="36"/>
                <w:szCs w:val="36"/>
              </w:rPr>
            </w:pPr>
            <w:r w:rsidRPr="00517968">
              <w:rPr>
                <w:sz w:val="36"/>
                <w:szCs w:val="36"/>
              </w:rPr>
              <w:t xml:space="preserve">Bias </w:t>
            </w:r>
          </w:p>
        </w:tc>
      </w:tr>
      <w:tr w:rsidR="002A3BDE" w14:paraId="34A73304" w14:textId="77777777" w:rsidTr="002A3BDE">
        <w:trPr>
          <w:trHeight w:val="1349"/>
        </w:trPr>
        <w:tc>
          <w:tcPr>
            <w:tcW w:w="2689" w:type="dxa"/>
          </w:tcPr>
          <w:p w14:paraId="14C7FDAD" w14:textId="77777777" w:rsidR="002A3BDE" w:rsidRPr="00517968" w:rsidRDefault="002A3BDE" w:rsidP="002A3BDE">
            <w:pPr>
              <w:rPr>
                <w:sz w:val="36"/>
                <w:szCs w:val="36"/>
              </w:rPr>
            </w:pPr>
            <w:r w:rsidRPr="00517968">
              <w:rPr>
                <w:sz w:val="36"/>
                <w:szCs w:val="36"/>
              </w:rPr>
              <w:t xml:space="preserve">Triangulatie </w:t>
            </w:r>
            <w:r w:rsidRPr="00FB7795">
              <w:rPr>
                <w:sz w:val="36"/>
                <w:szCs w:val="36"/>
                <w:highlight w:val="yellow"/>
              </w:rPr>
              <w:t>X</w:t>
            </w:r>
          </w:p>
        </w:tc>
        <w:tc>
          <w:tcPr>
            <w:tcW w:w="3827" w:type="dxa"/>
          </w:tcPr>
          <w:p w14:paraId="575B9563" w14:textId="77777777" w:rsidR="002A3BDE" w:rsidRPr="00517968" w:rsidRDefault="002A3BDE" w:rsidP="002A3BDE">
            <w:pPr>
              <w:rPr>
                <w:sz w:val="36"/>
                <w:szCs w:val="36"/>
              </w:rPr>
            </w:pPr>
            <w:r w:rsidRPr="00517968">
              <w:rPr>
                <w:sz w:val="36"/>
                <w:szCs w:val="36"/>
              </w:rPr>
              <w:t xml:space="preserve">Peer debriefing </w:t>
            </w:r>
            <w:r w:rsidRPr="00FB7795">
              <w:rPr>
                <w:sz w:val="36"/>
                <w:szCs w:val="36"/>
                <w:highlight w:val="yellow"/>
              </w:rPr>
              <w:t>x</w:t>
            </w:r>
          </w:p>
          <w:p w14:paraId="6F7ED200" w14:textId="77777777" w:rsidR="002A3BDE" w:rsidRPr="00517968" w:rsidRDefault="002A3BDE" w:rsidP="002A3BDE">
            <w:pPr>
              <w:rPr>
                <w:sz w:val="36"/>
                <w:szCs w:val="36"/>
              </w:rPr>
            </w:pPr>
          </w:p>
        </w:tc>
        <w:tc>
          <w:tcPr>
            <w:tcW w:w="2546" w:type="dxa"/>
          </w:tcPr>
          <w:p w14:paraId="6F4B3E70" w14:textId="77777777" w:rsidR="002A3BDE" w:rsidRPr="00517968" w:rsidRDefault="002A3BDE" w:rsidP="002A3BDE">
            <w:pPr>
              <w:rPr>
                <w:sz w:val="36"/>
                <w:szCs w:val="36"/>
              </w:rPr>
            </w:pPr>
            <w:r w:rsidRPr="00517968">
              <w:rPr>
                <w:sz w:val="36"/>
                <w:szCs w:val="36"/>
              </w:rPr>
              <w:t xml:space="preserve">Interne validiteit </w:t>
            </w:r>
          </w:p>
        </w:tc>
      </w:tr>
      <w:tr w:rsidR="002A3BDE" w14:paraId="7DBCCDC5" w14:textId="77777777" w:rsidTr="002A3BDE">
        <w:trPr>
          <w:trHeight w:val="1349"/>
        </w:trPr>
        <w:tc>
          <w:tcPr>
            <w:tcW w:w="2689" w:type="dxa"/>
          </w:tcPr>
          <w:p w14:paraId="0D5D02B0" w14:textId="77777777" w:rsidR="002A3BDE" w:rsidRPr="00517968" w:rsidRDefault="002A3BDE" w:rsidP="002A3BDE">
            <w:pPr>
              <w:rPr>
                <w:sz w:val="36"/>
                <w:szCs w:val="36"/>
              </w:rPr>
            </w:pPr>
            <w:r w:rsidRPr="00517968">
              <w:rPr>
                <w:sz w:val="36"/>
                <w:szCs w:val="36"/>
              </w:rPr>
              <w:t xml:space="preserve">Interviews </w:t>
            </w:r>
          </w:p>
        </w:tc>
        <w:tc>
          <w:tcPr>
            <w:tcW w:w="3827" w:type="dxa"/>
          </w:tcPr>
          <w:p w14:paraId="443CD26F" w14:textId="77777777" w:rsidR="002A3BDE" w:rsidRPr="00517968" w:rsidRDefault="002A3BDE" w:rsidP="002A3BDE">
            <w:pPr>
              <w:rPr>
                <w:sz w:val="36"/>
                <w:szCs w:val="36"/>
              </w:rPr>
            </w:pPr>
            <w:r w:rsidRPr="00517968">
              <w:rPr>
                <w:sz w:val="36"/>
                <w:szCs w:val="36"/>
              </w:rPr>
              <w:t xml:space="preserve">Member </w:t>
            </w:r>
            <w:proofErr w:type="spellStart"/>
            <w:r w:rsidRPr="00517968">
              <w:rPr>
                <w:sz w:val="36"/>
                <w:szCs w:val="36"/>
              </w:rPr>
              <w:t>checking</w:t>
            </w:r>
            <w:proofErr w:type="spellEnd"/>
            <w:r w:rsidRPr="00517968">
              <w:rPr>
                <w:sz w:val="36"/>
                <w:szCs w:val="36"/>
              </w:rPr>
              <w:t xml:space="preserve"> </w:t>
            </w:r>
            <w:r w:rsidRPr="00FB7795">
              <w:rPr>
                <w:sz w:val="36"/>
                <w:szCs w:val="36"/>
                <w:highlight w:val="yellow"/>
              </w:rPr>
              <w:t>x</w:t>
            </w:r>
          </w:p>
        </w:tc>
        <w:tc>
          <w:tcPr>
            <w:tcW w:w="2546" w:type="dxa"/>
          </w:tcPr>
          <w:p w14:paraId="6C61C483" w14:textId="77777777" w:rsidR="002A3BDE" w:rsidRPr="00517968" w:rsidRDefault="002A3BDE" w:rsidP="002A3BDE">
            <w:pPr>
              <w:rPr>
                <w:sz w:val="36"/>
                <w:szCs w:val="36"/>
              </w:rPr>
            </w:pPr>
            <w:r w:rsidRPr="00517968">
              <w:rPr>
                <w:sz w:val="36"/>
                <w:szCs w:val="36"/>
              </w:rPr>
              <w:t xml:space="preserve">Saturatie </w:t>
            </w:r>
            <w:r w:rsidRPr="00FB7795">
              <w:rPr>
                <w:sz w:val="36"/>
                <w:szCs w:val="36"/>
                <w:highlight w:val="yellow"/>
              </w:rPr>
              <w:t>X</w:t>
            </w:r>
          </w:p>
        </w:tc>
      </w:tr>
    </w:tbl>
    <w:p w14:paraId="207CCDB8" w14:textId="1DC1C57E" w:rsidR="0004686C" w:rsidRDefault="00517968" w:rsidP="0004686C">
      <w:pPr>
        <w:rPr>
          <w:rFonts w:ascii="Arial" w:hAnsi="Arial" w:cs="Arial"/>
          <w:b/>
          <w:bCs/>
        </w:rPr>
      </w:pPr>
      <w:r w:rsidRPr="00DE3587">
        <w:rPr>
          <w:rFonts w:ascii="Arial" w:hAnsi="Arial" w:cs="Arial"/>
          <w:b/>
          <w:bCs/>
        </w:rPr>
        <w:t xml:space="preserve">Antwoordsleutel: </w:t>
      </w:r>
    </w:p>
    <w:p w14:paraId="2DC225BA" w14:textId="00763552" w:rsidR="00D0382F" w:rsidRPr="00D0382F" w:rsidRDefault="00D0382F" w:rsidP="0004686C">
      <w:pPr>
        <w:rPr>
          <w:rFonts w:ascii="Arial" w:hAnsi="Arial" w:cs="Arial"/>
          <w:i/>
          <w:iCs/>
        </w:rPr>
      </w:pPr>
      <w:r w:rsidRPr="00D0382F">
        <w:rPr>
          <w:rFonts w:ascii="Arial" w:hAnsi="Arial" w:cs="Arial"/>
          <w:i/>
          <w:iCs/>
        </w:rPr>
        <w:t xml:space="preserve">Lees onderstaande vragen op zonder het antwoord te noemen. </w:t>
      </w:r>
    </w:p>
    <w:p w14:paraId="2626844B" w14:textId="34C27109" w:rsidR="0004686C" w:rsidRPr="00DA1269" w:rsidRDefault="0004686C" w:rsidP="00DA1269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A1269">
        <w:rPr>
          <w:rFonts w:ascii="Arial" w:hAnsi="Arial" w:cs="Arial"/>
          <w:sz w:val="24"/>
          <w:szCs w:val="24"/>
        </w:rPr>
        <w:t>Interne validiteit bij kwantitatief onderzoek wordt ook wel …… genoemd bij kwalitatief onderzoek. (werkelijkheidswaarde</w:t>
      </w:r>
      <w:r w:rsidR="00517968" w:rsidRPr="00DA1269">
        <w:rPr>
          <w:rFonts w:ascii="Arial" w:hAnsi="Arial" w:cs="Arial"/>
          <w:sz w:val="24"/>
          <w:szCs w:val="24"/>
        </w:rPr>
        <w:t>)</w:t>
      </w:r>
      <w:r w:rsidRPr="00DA1269">
        <w:rPr>
          <w:rFonts w:ascii="Arial" w:hAnsi="Arial" w:cs="Arial"/>
          <w:sz w:val="24"/>
          <w:szCs w:val="24"/>
        </w:rPr>
        <w:t xml:space="preserve">. </w:t>
      </w:r>
    </w:p>
    <w:p w14:paraId="4F4B6614" w14:textId="189CAB30" w:rsidR="0004686C" w:rsidRPr="00DA1269" w:rsidRDefault="0004686C" w:rsidP="00DA1269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A1269">
        <w:rPr>
          <w:rFonts w:ascii="Arial" w:hAnsi="Arial" w:cs="Arial"/>
          <w:sz w:val="24"/>
          <w:szCs w:val="24"/>
        </w:rPr>
        <w:t>…</w:t>
      </w:r>
      <w:r w:rsidR="00517968" w:rsidRPr="00DA1269">
        <w:rPr>
          <w:rFonts w:ascii="Arial" w:hAnsi="Arial" w:cs="Arial"/>
          <w:sz w:val="24"/>
          <w:szCs w:val="24"/>
        </w:rPr>
        <w:t>………</w:t>
      </w:r>
      <w:r w:rsidRPr="00DA1269">
        <w:rPr>
          <w:rFonts w:ascii="Arial" w:hAnsi="Arial" w:cs="Arial"/>
          <w:sz w:val="24"/>
          <w:szCs w:val="24"/>
        </w:rPr>
        <w:t xml:space="preserve"> Is de mate waarin de onderzoeksresultaten ook gelden voor </w:t>
      </w:r>
      <w:r w:rsidR="004C4ACF" w:rsidRPr="00DA1269">
        <w:rPr>
          <w:rFonts w:ascii="Arial" w:hAnsi="Arial" w:cs="Arial"/>
          <w:sz w:val="24"/>
          <w:szCs w:val="24"/>
        </w:rPr>
        <w:t>individuen die lijken op de onderzoekspopulatie.  (toepasbaarheid)</w:t>
      </w:r>
    </w:p>
    <w:p w14:paraId="6ED5DDD0" w14:textId="35FC6D02" w:rsidR="004C4ACF" w:rsidRPr="00DA1269" w:rsidRDefault="004C4ACF" w:rsidP="00DA1269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A1269">
        <w:rPr>
          <w:rFonts w:ascii="Arial" w:hAnsi="Arial" w:cs="Arial"/>
          <w:sz w:val="24"/>
          <w:szCs w:val="24"/>
        </w:rPr>
        <w:t>Wanneer de gegevens opnieuw verzameld zouden worden volgens dezelfde methode zouden ongeveer gelijke resultaten naar boven komen. (herhaalbaarheid)</w:t>
      </w:r>
    </w:p>
    <w:p w14:paraId="2FEEB587" w14:textId="7A0C3796" w:rsidR="00517968" w:rsidRPr="00DA1269" w:rsidRDefault="00517968" w:rsidP="00DA1269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A1269">
        <w:rPr>
          <w:rFonts w:ascii="Arial" w:hAnsi="Arial" w:cs="Arial"/>
          <w:sz w:val="24"/>
          <w:szCs w:val="24"/>
        </w:rPr>
        <w:t xml:space="preserve">Wanneer ……. bereikt is, </w:t>
      </w:r>
      <w:r w:rsidR="00A162AE">
        <w:rPr>
          <w:rFonts w:ascii="Arial" w:hAnsi="Arial" w:cs="Arial"/>
          <w:sz w:val="24"/>
          <w:szCs w:val="24"/>
        </w:rPr>
        <w:t xml:space="preserve">zijn er voldoende gegevens verzameld en </w:t>
      </w:r>
      <w:r w:rsidRPr="00DA1269">
        <w:rPr>
          <w:rFonts w:ascii="Arial" w:hAnsi="Arial" w:cs="Arial"/>
          <w:sz w:val="24"/>
          <w:szCs w:val="24"/>
        </w:rPr>
        <w:t>mag de onderzoeke</w:t>
      </w:r>
      <w:r w:rsidR="00FE3F34">
        <w:rPr>
          <w:rFonts w:ascii="Arial" w:hAnsi="Arial" w:cs="Arial"/>
          <w:sz w:val="24"/>
          <w:szCs w:val="24"/>
        </w:rPr>
        <w:t>r</w:t>
      </w:r>
      <w:r w:rsidRPr="00DA1269">
        <w:rPr>
          <w:rFonts w:ascii="Arial" w:hAnsi="Arial" w:cs="Arial"/>
          <w:sz w:val="24"/>
          <w:szCs w:val="24"/>
        </w:rPr>
        <w:t xml:space="preserve"> stoppen met het verzamelen van gegevens</w:t>
      </w:r>
      <w:r w:rsidR="00E04AB7" w:rsidRPr="00DA1269">
        <w:rPr>
          <w:rFonts w:ascii="Arial" w:hAnsi="Arial" w:cs="Arial"/>
          <w:sz w:val="24"/>
          <w:szCs w:val="24"/>
        </w:rPr>
        <w:t xml:space="preserve"> (saturatie)</w:t>
      </w:r>
    </w:p>
    <w:p w14:paraId="07309AFC" w14:textId="0A8AC8ED" w:rsidR="004C4ACF" w:rsidRPr="00DA1269" w:rsidRDefault="004C4ACF" w:rsidP="00DA1269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A1269">
        <w:rPr>
          <w:rFonts w:ascii="Arial" w:hAnsi="Arial" w:cs="Arial"/>
          <w:sz w:val="24"/>
          <w:szCs w:val="24"/>
        </w:rPr>
        <w:t xml:space="preserve">De onderzoeker was niet objectief genoeg tijdens het uitvoeren van de interviews, dit heeft effect op de ……. van het onderzoek (neutraliteit). </w:t>
      </w:r>
    </w:p>
    <w:p w14:paraId="39D589F7" w14:textId="6BEE81DD" w:rsidR="00517968" w:rsidRPr="00DA1269" w:rsidRDefault="004C4ACF" w:rsidP="00DA1269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A1269">
        <w:rPr>
          <w:rFonts w:ascii="Arial" w:hAnsi="Arial" w:cs="Arial"/>
          <w:sz w:val="24"/>
          <w:szCs w:val="24"/>
        </w:rPr>
        <w:t>Dit is wanneer er meerdere bronnen of meerdere methodes worden gebruikt in een onderzoek.</w:t>
      </w:r>
      <w:r w:rsidR="00517968" w:rsidRPr="00DA1269">
        <w:rPr>
          <w:rFonts w:ascii="Arial" w:hAnsi="Arial" w:cs="Arial"/>
          <w:sz w:val="24"/>
          <w:szCs w:val="24"/>
        </w:rPr>
        <w:t xml:space="preserve"> (triangulatie)</w:t>
      </w:r>
      <w:r w:rsidRPr="00DA1269">
        <w:rPr>
          <w:rFonts w:ascii="Arial" w:hAnsi="Arial" w:cs="Arial"/>
          <w:sz w:val="24"/>
          <w:szCs w:val="24"/>
        </w:rPr>
        <w:t xml:space="preserve"> </w:t>
      </w:r>
    </w:p>
    <w:p w14:paraId="7F893179" w14:textId="21D007FB" w:rsidR="00517968" w:rsidRPr="00DA1269" w:rsidRDefault="004C4ACF" w:rsidP="00DA1269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A1269">
        <w:rPr>
          <w:rFonts w:ascii="Arial" w:hAnsi="Arial" w:cs="Arial"/>
          <w:sz w:val="24"/>
          <w:szCs w:val="24"/>
        </w:rPr>
        <w:t>…</w:t>
      </w:r>
      <w:r w:rsidR="00517968" w:rsidRPr="00DA1269">
        <w:rPr>
          <w:rFonts w:ascii="Arial" w:hAnsi="Arial" w:cs="Arial"/>
          <w:sz w:val="24"/>
          <w:szCs w:val="24"/>
        </w:rPr>
        <w:t>…….</w:t>
      </w:r>
      <w:r w:rsidRPr="00DA1269">
        <w:rPr>
          <w:rFonts w:ascii="Arial" w:hAnsi="Arial" w:cs="Arial"/>
          <w:sz w:val="24"/>
          <w:szCs w:val="24"/>
        </w:rPr>
        <w:t xml:space="preserve"> is van belang om de geloofwaardigheid van een onderzoek te vergroten. Dit omdat je bij de deelnemers checkt of interpretaties daadwerkelijk kloppen met de bedoelingen van de participant. </w:t>
      </w:r>
      <w:r w:rsidR="00517968" w:rsidRPr="00DA1269">
        <w:rPr>
          <w:rFonts w:ascii="Arial" w:hAnsi="Arial" w:cs="Arial"/>
          <w:sz w:val="24"/>
          <w:szCs w:val="24"/>
        </w:rPr>
        <w:t>(Membercheck)</w:t>
      </w:r>
    </w:p>
    <w:p w14:paraId="5BBC282C" w14:textId="124773B1" w:rsidR="004C4ACF" w:rsidRPr="00DA1269" w:rsidRDefault="004C4ACF" w:rsidP="00DA1269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A1269">
        <w:rPr>
          <w:rFonts w:ascii="Arial" w:hAnsi="Arial" w:cs="Arial"/>
          <w:sz w:val="24"/>
          <w:szCs w:val="24"/>
        </w:rPr>
        <w:t>……….. is gedurende de looptijd van het onderzoek het onderzoeksproces met gelijken (andere onderzoekers) bespreken</w:t>
      </w:r>
      <w:r w:rsidR="00517968" w:rsidRPr="00DA1269">
        <w:rPr>
          <w:rFonts w:ascii="Arial" w:hAnsi="Arial" w:cs="Arial"/>
          <w:sz w:val="24"/>
          <w:szCs w:val="24"/>
        </w:rPr>
        <w:t xml:space="preserve"> (peer debriefing)</w:t>
      </w:r>
    </w:p>
    <w:p w14:paraId="6E83D1CC" w14:textId="6AD68789" w:rsidR="001F5C9E" w:rsidRPr="001F5C9E" w:rsidRDefault="001F5C9E" w:rsidP="001F5C9E">
      <w:pPr>
        <w:rPr>
          <w:rFonts w:ascii="Arial" w:hAnsi="Arial" w:cs="Arial"/>
          <w:sz w:val="20"/>
          <w:szCs w:val="20"/>
        </w:rPr>
      </w:pPr>
      <w:r w:rsidRPr="00DA1269">
        <w:rPr>
          <w:rFonts w:ascii="Arial" w:hAnsi="Arial" w:cs="Arial"/>
          <w:highlight w:val="yellow"/>
        </w:rPr>
        <w:t>Wanneer alle vragen</w:t>
      </w:r>
      <w:r>
        <w:rPr>
          <w:rFonts w:ascii="Arial" w:hAnsi="Arial" w:cs="Arial"/>
          <w:highlight w:val="yellow"/>
        </w:rPr>
        <w:t xml:space="preserve"> zijn gesteld </w:t>
      </w:r>
      <w:r w:rsidRPr="00517968">
        <w:rPr>
          <w:rFonts w:ascii="Arial" w:hAnsi="Arial" w:cs="Arial"/>
          <w:highlight w:val="yellow"/>
        </w:rPr>
        <w:t>kunnen studenten BINGO gaan roep</w:t>
      </w:r>
      <w:r w:rsidRPr="001F5C9E">
        <w:rPr>
          <w:rFonts w:ascii="Arial" w:hAnsi="Arial" w:cs="Arial"/>
          <w:highlight w:val="yellow"/>
        </w:rPr>
        <w:t xml:space="preserve">en! </w:t>
      </w:r>
      <w:r w:rsidRPr="001F5C9E">
        <w:rPr>
          <w:rFonts w:ascii="Arial" w:hAnsi="Arial" w:cs="Arial"/>
          <w:sz w:val="20"/>
          <w:szCs w:val="20"/>
          <w:highlight w:val="yellow"/>
        </w:rPr>
        <w:t>(zij weten niet dat er maar 8 vragen zijn)</w:t>
      </w:r>
      <w:r w:rsidRPr="001F5C9E">
        <w:rPr>
          <w:rFonts w:ascii="Arial" w:hAnsi="Arial" w:cs="Arial"/>
          <w:sz w:val="20"/>
          <w:szCs w:val="20"/>
        </w:rPr>
        <w:t xml:space="preserve"> </w:t>
      </w:r>
    </w:p>
    <w:p w14:paraId="19839F5A" w14:textId="698503A7" w:rsidR="00517968" w:rsidRDefault="00517968" w:rsidP="00517968">
      <w:pPr>
        <w:rPr>
          <w:rFonts w:ascii="Arial" w:hAnsi="Arial" w:cs="Arial"/>
          <w:sz w:val="18"/>
          <w:szCs w:val="18"/>
        </w:rPr>
      </w:pPr>
    </w:p>
    <w:p w14:paraId="260620DD" w14:textId="75679754" w:rsidR="00517968" w:rsidRPr="00D0382F" w:rsidRDefault="002A3BDE" w:rsidP="002A3B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vakken met een X zijn kwalitatieve termen en antwoorden. Zonder X zijn niet passend</w:t>
      </w:r>
      <w:r w:rsidR="00DE3587">
        <w:rPr>
          <w:rFonts w:ascii="Arial" w:hAnsi="Arial" w:cs="Arial"/>
          <w:sz w:val="18"/>
          <w:szCs w:val="18"/>
        </w:rPr>
        <w:t xml:space="preserve"> (niet kwalitatief of niet passend)</w:t>
      </w:r>
      <w:r>
        <w:rPr>
          <w:rFonts w:ascii="Arial" w:hAnsi="Arial" w:cs="Arial"/>
          <w:sz w:val="18"/>
          <w:szCs w:val="18"/>
        </w:rPr>
        <w:t xml:space="preserve">. </w:t>
      </w:r>
    </w:p>
    <w:sectPr w:rsidR="00517968" w:rsidRPr="00D0382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50F93" w14:textId="77777777" w:rsidR="00E07E57" w:rsidRDefault="00E07E57" w:rsidP="00FB7795">
      <w:pPr>
        <w:spacing w:after="0" w:line="240" w:lineRule="auto"/>
      </w:pPr>
      <w:r>
        <w:separator/>
      </w:r>
    </w:p>
  </w:endnote>
  <w:endnote w:type="continuationSeparator" w:id="0">
    <w:p w14:paraId="62108002" w14:textId="77777777" w:rsidR="00E07E57" w:rsidRDefault="00E07E57" w:rsidP="00FB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9378991"/>
      <w:docPartObj>
        <w:docPartGallery w:val="Page Numbers (Bottom of Page)"/>
        <w:docPartUnique/>
      </w:docPartObj>
    </w:sdtPr>
    <w:sdtEndPr/>
    <w:sdtContent>
      <w:p w14:paraId="401397EE" w14:textId="1F15B42C" w:rsidR="00FB7795" w:rsidRDefault="00FB779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F1957B" w14:textId="77777777" w:rsidR="00FB7795" w:rsidRDefault="00FB779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5CAC8" w14:textId="77777777" w:rsidR="00E07E57" w:rsidRDefault="00E07E57" w:rsidP="00FB7795">
      <w:pPr>
        <w:spacing w:after="0" w:line="240" w:lineRule="auto"/>
      </w:pPr>
      <w:r>
        <w:separator/>
      </w:r>
    </w:p>
  </w:footnote>
  <w:footnote w:type="continuationSeparator" w:id="0">
    <w:p w14:paraId="46D58193" w14:textId="77777777" w:rsidR="00E07E57" w:rsidRDefault="00E07E57" w:rsidP="00FB7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D0022"/>
    <w:multiLevelType w:val="hybridMultilevel"/>
    <w:tmpl w:val="77B4952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A70732"/>
    <w:multiLevelType w:val="hybridMultilevel"/>
    <w:tmpl w:val="18DAEA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168C5"/>
    <w:multiLevelType w:val="hybridMultilevel"/>
    <w:tmpl w:val="365EF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C1C98"/>
    <w:multiLevelType w:val="hybridMultilevel"/>
    <w:tmpl w:val="3BF6A3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D4FCD"/>
    <w:multiLevelType w:val="hybridMultilevel"/>
    <w:tmpl w:val="D144B26C"/>
    <w:lvl w:ilvl="0" w:tplc="4E080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6C"/>
    <w:rsid w:val="0004686C"/>
    <w:rsid w:val="001F5C9E"/>
    <w:rsid w:val="00275C82"/>
    <w:rsid w:val="002A3BDE"/>
    <w:rsid w:val="004C4ACF"/>
    <w:rsid w:val="00517968"/>
    <w:rsid w:val="007C0473"/>
    <w:rsid w:val="00853C02"/>
    <w:rsid w:val="00A162AE"/>
    <w:rsid w:val="00A34F45"/>
    <w:rsid w:val="00D0382F"/>
    <w:rsid w:val="00DA1269"/>
    <w:rsid w:val="00DE3587"/>
    <w:rsid w:val="00E04AB7"/>
    <w:rsid w:val="00E07E57"/>
    <w:rsid w:val="00EC4280"/>
    <w:rsid w:val="00FB7795"/>
    <w:rsid w:val="00FE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0CCA"/>
  <w15:chartTrackingRefBased/>
  <w15:docId w15:val="{A1AD75FA-06C4-46BB-8DF1-3524FFB1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4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4686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4686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4686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4686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4686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4686C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FB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FB7795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FB7795"/>
    <w:rPr>
      <w:rFonts w:eastAsiaTheme="minorEastAsia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FB7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7795"/>
  </w:style>
  <w:style w:type="paragraph" w:styleId="Voettekst">
    <w:name w:val="footer"/>
    <w:basedOn w:val="Standaard"/>
    <w:link w:val="VoettekstChar"/>
    <w:uiPriority w:val="99"/>
    <w:unhideWhenUsed/>
    <w:rsid w:val="00FB7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B7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van de Bovenkamp</dc:creator>
  <cp:keywords/>
  <dc:description/>
  <cp:lastModifiedBy>Janneke Mulder</cp:lastModifiedBy>
  <cp:revision>12</cp:revision>
  <dcterms:created xsi:type="dcterms:W3CDTF">2022-04-15T15:36:00Z</dcterms:created>
  <dcterms:modified xsi:type="dcterms:W3CDTF">2022-07-05T08:50:00Z</dcterms:modified>
</cp:coreProperties>
</file>